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FE" w:rsidRPr="007429BF" w:rsidRDefault="00F248FE" w:rsidP="00F248FE">
      <w:pPr>
        <w:autoSpaceDE w:val="0"/>
        <w:autoSpaceDN w:val="0"/>
        <w:rPr>
          <w:rFonts w:asciiTheme="minorEastAsia" w:eastAsiaTheme="minorEastAsia" w:hAnsiTheme="minorEastAsia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様式第１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号の１</w:t>
      </w:r>
    </w:p>
    <w:p w:rsidR="00F248FE" w:rsidRPr="007429BF" w:rsidRDefault="00F248FE" w:rsidP="00F248FE">
      <w:pPr>
        <w:suppressAutoHyphens/>
        <w:autoSpaceDE w:val="0"/>
        <w:autoSpaceDN w:val="0"/>
        <w:jc w:val="center"/>
        <w:rPr>
          <w:rFonts w:asciiTheme="minorEastAsia" w:eastAsiaTheme="minorEastAsia" w:hAnsiTheme="minorEastAsia" w:cs="ＭＳ ゴシック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山形県リサイクル製品認定申請に係る</w:t>
      </w:r>
      <w:r w:rsidR="00E97028"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製品の</w:t>
      </w: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製造状況</w:t>
      </w: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　　　　　　　　　　　　　　　　　　　　製品名　　</w:t>
      </w: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　　　　　　　　　　　　　　　　　　　　</w:t>
      </w:r>
      <w:r w:rsidR="006872BF"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>（</w:t>
      </w: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>更新申請の場合、既認定番号 第</w:t>
      </w:r>
      <w:r w:rsidR="006F1911"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 </w:t>
      </w:r>
      <w:r w:rsidRPr="007429BF">
        <w:rPr>
          <w:rFonts w:asciiTheme="minorEastAsia" w:eastAsiaTheme="minorEastAsia" w:hAnsiTheme="minorEastAsia" w:hint="eastAsia"/>
          <w:kern w:val="1"/>
          <w:sz w:val="24"/>
          <w:szCs w:val="24"/>
        </w:rPr>
        <w:t xml:space="preserve">　　 号）</w:t>
      </w:r>
    </w:p>
    <w:p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(注)申請の直近１年間における製造実績</w:t>
      </w:r>
      <w:r w:rsidR="00C66F0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（実績が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ない場合には製造計画</w:t>
      </w:r>
      <w:r w:rsidR="00C66F0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）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に基づき</w:t>
      </w:r>
      <w:r w:rsidR="004F3A47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、製造加工フロー図に記載の数値と整合性がとれるように記載すること。</w:t>
      </w:r>
    </w:p>
    <w:p w:rsidR="004E51D4" w:rsidRPr="007429BF" w:rsidRDefault="004E51D4" w:rsidP="00F248FE">
      <w:pPr>
        <w:tabs>
          <w:tab w:val="left" w:pos="2715"/>
        </w:tabs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kern w:val="1"/>
          <w:sz w:val="24"/>
          <w:szCs w:val="24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　なお、率の記載については、</w:t>
      </w:r>
      <w:r w:rsidR="008A78D3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小数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第２位を四捨五入すること。</w:t>
      </w:r>
    </w:p>
    <w:p w:rsidR="00F248FE" w:rsidRPr="007429BF" w:rsidRDefault="00F248FE" w:rsidP="00F248FE">
      <w:pPr>
        <w:tabs>
          <w:tab w:val="left" w:pos="2715"/>
        </w:tabs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3C2425" w:rsidRPr="007429BF" w:rsidRDefault="003C2425" w:rsidP="003C2425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１　</w:t>
      </w:r>
      <w:r w:rsidR="00E579F6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原材料として利用する循環資源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の年間利用量等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472"/>
        <w:gridCol w:w="2646"/>
        <w:gridCol w:w="1311"/>
        <w:gridCol w:w="1099"/>
        <w:gridCol w:w="1240"/>
        <w:gridCol w:w="1170"/>
      </w:tblGrid>
      <w:tr w:rsidR="007429BF" w:rsidRPr="007429BF" w:rsidTr="004E51D4">
        <w:trPr>
          <w:trHeight w:val="8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E579F6" w:rsidP="00E579F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循環資源</w:t>
            </w:r>
            <w:r w:rsidR="003C242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の名称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排出元の名称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AD09F5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年間利用量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</w:t>
            </w:r>
            <w:r w:rsidR="00AD09F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単位：</w:t>
            </w:r>
            <w:r w:rsidR="00AD09F5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:rsidTr="00673DD4">
        <w:trPr>
          <w:trHeight w:val="25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673DD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うち</w:t>
            </w:r>
            <w:r w:rsidR="00673DD4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山形県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内排出量</w:t>
            </w:r>
          </w:p>
        </w:tc>
      </w:tr>
      <w:tr w:rsidR="007429BF" w:rsidRPr="007429BF" w:rsidTr="00673DD4">
        <w:trPr>
          <w:trHeight w:val="15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①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673DD4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②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673DD4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③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673DD4">
        <w:trPr>
          <w:trHeight w:val="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①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673DD4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②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673DD4">
        <w:trPr>
          <w:trHeight w:val="2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>③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4E51D4">
        <w:trPr>
          <w:trHeight w:val="70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合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 xml:space="preserve">　　計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（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A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）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ind w:right="24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（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B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  <w:lang w:val="ja-JP"/>
              </w:rPr>
            </w:pPr>
          </w:p>
        </w:tc>
      </w:tr>
      <w:tr w:rsidR="003C2425" w:rsidRPr="007429BF" w:rsidTr="004E51D4">
        <w:trPr>
          <w:trHeight w:val="165"/>
        </w:trPr>
        <w:tc>
          <w:tcPr>
            <w:tcW w:w="51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6F1911" w:rsidP="006F1911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山形県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内</w:t>
            </w:r>
            <w:r w:rsidR="003C2425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排出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占有率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（</w:t>
            </w:r>
            <w:r w:rsidR="003C2425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B/A×100</w:t>
            </w:r>
            <w:r w:rsidR="003C2425"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  <w:t>）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425" w:rsidRPr="007429BF" w:rsidRDefault="003C2425" w:rsidP="00ED744B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ゴシック" w:hint="eastAsia"/>
                <w:kern w:val="1"/>
                <w:sz w:val="24"/>
                <w:szCs w:val="24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ゴシック"/>
                <w:kern w:val="1"/>
                <w:sz w:val="24"/>
                <w:szCs w:val="24"/>
                <w:lang w:val="ja-JP"/>
              </w:rPr>
              <w:t>％</w:t>
            </w:r>
          </w:p>
        </w:tc>
      </w:tr>
    </w:tbl>
    <w:p w:rsidR="003C2425" w:rsidRPr="007429BF" w:rsidRDefault="003C2425" w:rsidP="003C2425">
      <w:pPr>
        <w:suppressAutoHyphens/>
        <w:autoSpaceDE w:val="0"/>
        <w:autoSpaceDN w:val="0"/>
        <w:jc w:val="center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F248FE" w:rsidRPr="007429BF" w:rsidRDefault="003C2425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２</w:t>
      </w:r>
      <w:r w:rsidR="00F248FE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原</w:t>
      </w:r>
      <w:r w:rsidR="004E51D4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材料</w:t>
      </w:r>
      <w:r w:rsidR="00AD09F5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として利用する</w:t>
      </w:r>
      <w:r w:rsidR="00F248FE"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循環資源の利用率</w:t>
      </w:r>
      <w:r w:rsidR="00F248FE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268"/>
        <w:gridCol w:w="1984"/>
        <w:gridCol w:w="709"/>
      </w:tblGrid>
      <w:tr w:rsidR="007429BF" w:rsidRPr="007429BF" w:rsidTr="004E51D4">
        <w:trPr>
          <w:trHeight w:val="7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内　　　　　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673DD4" w:rsidP="009D3433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利用量</w:t>
            </w:r>
            <w:r w:rsidR="009D3433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・利用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単位</w:t>
            </w:r>
          </w:p>
        </w:tc>
      </w:tr>
      <w:tr w:rsidR="007429BF" w:rsidRPr="007429BF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循環資源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="00673DD4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（C）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循環資源以外の</w:t>
            </w:r>
            <w:r w:rsidR="00673DD4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（D）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循環資源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の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利用率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C66F05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（C/(C+D)×100）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9D3433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F05" w:rsidRPr="007429BF" w:rsidRDefault="00C66F05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％</w:t>
            </w:r>
          </w:p>
        </w:tc>
      </w:tr>
      <w:tr w:rsidR="007429BF" w:rsidRPr="007429BF" w:rsidTr="0011210E">
        <w:trPr>
          <w:trHeight w:val="317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7028" w:rsidRPr="007429BF" w:rsidRDefault="00E97028" w:rsidP="00B90DCF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  <w:p w:rsidR="00F248FE" w:rsidRPr="007429BF" w:rsidRDefault="00C66F05" w:rsidP="006872BF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※　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利用する循環資源が溶融スラグ又はフライアッシュの場合は</w:t>
            </w:r>
            <w:r w:rsidR="00B90DCF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次に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記載</w:t>
            </w:r>
            <w:r w:rsidR="006872BF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すること</w:t>
            </w:r>
            <w:r w:rsidR="00F248FE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。</w:t>
            </w:r>
          </w:p>
        </w:tc>
      </w:tr>
      <w:tr w:rsidR="007429BF" w:rsidRPr="007429BF" w:rsidTr="00946528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溶融スラグ（フライアッシュ）の</w:t>
            </w:r>
            <w:r w:rsidR="00673DD4"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（E）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:rsidTr="004E51D4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3433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細骨材（フライアッシュ利用の場合は</w:t>
            </w:r>
          </w:p>
          <w:p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セメント）の</w:t>
            </w:r>
            <w:r w:rsidR="00673DD4"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年間利用</w:t>
            </w: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（F）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11210E" w:rsidRPr="007429BF" w:rsidTr="00946528">
        <w:trPr>
          <w:trHeight w:val="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673DD4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溶融スラグ（フライアッシュ）の利用率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（E/(E+F)×100）</w:t>
            </w: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10E" w:rsidRPr="007429BF" w:rsidRDefault="0011210E" w:rsidP="0011210E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％</w:t>
            </w:r>
          </w:p>
        </w:tc>
      </w:tr>
    </w:tbl>
    <w:p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</w:p>
    <w:p w:rsidR="00F248FE" w:rsidRPr="007429BF" w:rsidRDefault="00F248FE" w:rsidP="00F248FE">
      <w:pPr>
        <w:suppressAutoHyphens/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製造及び販売に係る知的財産権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の取得（予定）状況</w:t>
      </w:r>
      <w:r w:rsidR="0018677D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等</w:t>
      </w:r>
      <w:r w:rsidR="0029581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（該当するものの□を■に修正</w:t>
      </w:r>
      <w:r w:rsidR="00153DE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すること</w:t>
      </w:r>
      <w:r w:rsidR="0029581B"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。）</w:t>
      </w: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9"/>
        <w:gridCol w:w="218"/>
        <w:gridCol w:w="1663"/>
        <w:gridCol w:w="1416"/>
        <w:gridCol w:w="1417"/>
        <w:gridCol w:w="1416"/>
        <w:gridCol w:w="1417"/>
        <w:gridCol w:w="1417"/>
      </w:tblGrid>
      <w:tr w:rsidR="007429BF" w:rsidRPr="007429BF" w:rsidTr="001A0B36">
        <w:trPr>
          <w:trHeight w:val="25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区 分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(2)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(5)</w:t>
            </w:r>
          </w:p>
        </w:tc>
      </w:tr>
      <w:tr w:rsidR="007429BF" w:rsidRPr="007429BF" w:rsidTr="001A0B36">
        <w:trPr>
          <w:trHeight w:val="29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種　類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特許権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実用新案権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意匠権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著作権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  <w:t>商標権</w:t>
            </w:r>
          </w:p>
        </w:tc>
      </w:tr>
      <w:tr w:rsidR="007429BF" w:rsidRPr="007429BF" w:rsidTr="001A0B36">
        <w:trPr>
          <w:trHeight w:val="296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77D" w:rsidRPr="007429BF" w:rsidRDefault="0018677D" w:rsidP="00B90DCF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取 得</w:t>
            </w:r>
          </w:p>
          <w:p w:rsidR="0018677D" w:rsidRPr="007429BF" w:rsidRDefault="0018677D" w:rsidP="0018677D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(予定)</w:t>
            </w:r>
          </w:p>
          <w:p w:rsidR="00F248FE" w:rsidRPr="007429BF" w:rsidRDefault="00B90DCF" w:rsidP="0018677D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状</w:t>
            </w:r>
            <w:r w:rsidR="0018677D"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況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:rsidTr="001A0B36">
        <w:trPr>
          <w:trHeight w:val="296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:rsidTr="0018677D">
        <w:trPr>
          <w:trHeight w:val="22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取得予定の場合、その時期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</w:tr>
      <w:tr w:rsidR="007429BF" w:rsidRPr="007429BF" w:rsidTr="00946528">
        <w:trPr>
          <w:trHeight w:val="4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他製品の侵害の恐れ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有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  <w:tr w:rsidR="007429BF" w:rsidRPr="007429BF" w:rsidTr="00946528">
        <w:trPr>
          <w:trHeight w:val="462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jc w:val="center"/>
              <w:rPr>
                <w:rFonts w:asciiTheme="minorEastAsia" w:eastAsiaTheme="minorEastAsia" w:hAnsiTheme="minorEastAsia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□</w:t>
            </w:r>
          </w:p>
        </w:tc>
      </w:tr>
    </w:tbl>
    <w:p w:rsidR="00F248FE" w:rsidRPr="007429BF" w:rsidRDefault="00F248FE" w:rsidP="00F248FE">
      <w:pPr>
        <w:widowControl/>
        <w:tabs>
          <w:tab w:val="left" w:pos="8415"/>
        </w:tabs>
        <w:jc w:val="left"/>
        <w:rPr>
          <w:rFonts w:asciiTheme="minorEastAsia" w:eastAsiaTheme="minorEastAsia" w:hAnsiTheme="minorEastAsia" w:cs="ＭＳ 明朝"/>
          <w:kern w:val="1"/>
          <w:lang w:val="ja-JP"/>
        </w:rPr>
      </w:pPr>
      <w:bookmarkStart w:id="0" w:name="_GoBack"/>
      <w:bookmarkEnd w:id="0"/>
    </w:p>
    <w:sectPr w:rsidR="00F248FE" w:rsidRPr="007429BF" w:rsidSect="00194E56">
      <w:pgSz w:w="11906" w:h="16838" w:code="9"/>
      <w:pgMar w:top="1021" w:right="1021" w:bottom="1021" w:left="1021" w:header="851" w:footer="992" w:gutter="0"/>
      <w:pgNumType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>
      <w:r>
        <w:separator/>
      </w:r>
    </w:p>
  </w:endnote>
  <w:endnote w:type="continuationSeparator" w:id="0">
    <w:p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>
      <w:r>
        <w:separator/>
      </w:r>
    </w:p>
  </w:footnote>
  <w:footnote w:type="continuationSeparator" w:id="0">
    <w:p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6"/>
  </w:num>
  <w:num w:numId="15">
    <w:abstractNumId w:val="20"/>
  </w:num>
  <w:num w:numId="16">
    <w:abstractNumId w:val="21"/>
  </w:num>
  <w:num w:numId="17">
    <w:abstractNumId w:val="19"/>
  </w:num>
  <w:num w:numId="18">
    <w:abstractNumId w:val="0"/>
  </w:num>
  <w:num w:numId="19">
    <w:abstractNumId w:val="6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4E56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2FAB"/>
    <w:rsid w:val="00484784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A320D"/>
    <w:rsid w:val="00AA350D"/>
    <w:rsid w:val="00AB1457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E02B4D"/>
    <w:rsid w:val="00E030D5"/>
    <w:rsid w:val="00E03BCF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476"/>
    <w:rsid w:val="00F43C16"/>
    <w:rsid w:val="00F458C0"/>
    <w:rsid w:val="00F54317"/>
    <w:rsid w:val="00F57960"/>
    <w:rsid w:val="00F754AC"/>
    <w:rsid w:val="00F774A0"/>
    <w:rsid w:val="00F9653C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7D75998B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ADC77-6002-471D-ABCD-7E3A5ECE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553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user</cp:lastModifiedBy>
  <cp:revision>8</cp:revision>
  <cp:lastPrinted>2024-09-24T09:44:00Z</cp:lastPrinted>
  <dcterms:created xsi:type="dcterms:W3CDTF">2024-09-24T07:34:00Z</dcterms:created>
  <dcterms:modified xsi:type="dcterms:W3CDTF">2024-09-24T11:03:00Z</dcterms:modified>
</cp:coreProperties>
</file>